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adjustRightInd w:val="0"/>
        <w:snapToGrid w:val="0"/>
        <w:spacing w:line="540" w:lineRule="atLeast"/>
        <w:jc w:val="center"/>
        <w:rPr>
          <w:rFonts w:eastAsia="方正小标宋简体" w:cstheme="minorBidi"/>
          <w:bCs/>
          <w:color w:val="FF0000"/>
          <w:w w:val="87"/>
          <w:sz w:val="72"/>
          <w:szCs w:val="92"/>
        </w:rPr>
      </w:pPr>
      <w:r>
        <w:rPr>
          <w:rFonts w:ascii="宋体" w:hAnsi="宋体" w:cs="宋体"/>
          <w:bCs/>
          <w:color w:val="FF0000"/>
          <w:sz w:val="72"/>
          <w:szCs w:val="92"/>
          <w:lang w:val="zh-CN"/>
        </w:rPr>
        <w:pict>
          <v:line id="直接连接符 1" o:spid="_x0000_s1025" style="mso-height-relative:page;mso-position-horizontal-relative:page;mso-position-vertical-relative:page;mso-width-relative:margin;position:absolute;z-index:251659264" from="56.7pt,146.4pt" to="538.6pt,146.4pt" coordsize="21600,21600" stroked="t" strokecolor="red">
            <v:stroke linestyle="thickThin"/>
          </v:line>
        </w:pict>
      </w:r>
      <w:r>
        <w:rPr>
          <w:rFonts w:ascii="宋体" w:hAnsi="宋体" w:cs="宋体"/>
          <w:bCs/>
          <w:color w:val="FF0000"/>
          <w:sz w:val="72"/>
          <w:szCs w:val="92"/>
          <w:lang w:val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o:spid="_x0000_s1026" type="#_x0000_t202" style="width:446.5pt;height:57.85pt;margin-top:73.7pt;margin-left:77.9pt;mso-height-relative:margin;mso-position-horizontal-relative:page;mso-position-vertical-relative:page;mso-width-relative:margin;position:absolute;v-text-anchor:middle;z-index:251658240" coordsize="21600,21600" filled="f" stroked="f">
            <v:stroke joinstyle="miter"/>
            <v:textbox inset="0,0,0,0">
              <w:txbxContent>
                <w:p>
                  <w:pPr>
                    <w:jc w:val="center"/>
                    <w:rPr>
                      <w:rFonts w:eastAsia="方正小标宋简体"/>
                      <w:bCs/>
                      <w:color w:val="FF0000"/>
                      <w:w w:val="87"/>
                      <w:sz w:val="72"/>
                      <w:szCs w:val="92"/>
                    </w:rPr>
                  </w:pPr>
                  <w:r>
                    <w:rPr>
                      <w:rFonts w:eastAsia="方正小标宋简体" w:hint="eastAsia"/>
                      <w:bCs/>
                      <w:color w:val="FF0000"/>
                      <w:w w:val="87"/>
                      <w:sz w:val="72"/>
                      <w:szCs w:val="92"/>
                    </w:rPr>
                    <w:t>中共</w:t>
                  </w:r>
                  <w:r>
                    <w:rPr>
                      <w:rFonts w:eastAsia="方正小标宋简体"/>
                      <w:bCs/>
                      <w:color w:val="FF0000"/>
                      <w:w w:val="87"/>
                      <w:sz w:val="72"/>
                      <w:szCs w:val="92"/>
                    </w:rPr>
                    <w:t>中山大学</w:t>
                  </w:r>
                  <w:r>
                    <w:rPr>
                      <w:rFonts w:eastAsia="方正小标宋简体" w:hint="eastAsia"/>
                      <w:bCs/>
                      <w:color w:val="FF0000"/>
                      <w:w w:val="87"/>
                      <w:sz w:val="72"/>
                      <w:szCs w:val="92"/>
                    </w:rPr>
                    <w:t>委员会学生工作部</w:t>
                  </w:r>
                </w:p>
                <w:p>
                  <w:pPr>
                    <w:rPr>
                      <w:w w:val="87"/>
                      <w:sz w:val="18"/>
                    </w:rPr>
                  </w:pPr>
                </w:p>
              </w:txbxContent>
            </v:textbox>
          </v:shape>
        </w:pict>
      </w:r>
    </w:p>
    <w:p>
      <w:pPr>
        <w:ind w:firstLine="640" w:firstLineChars="200"/>
        <w:jc w:val="right"/>
        <w:rPr>
          <w:rFonts w:ascii="Times New Roman" w:eastAsia="仿宋_GB2312" w:hAnsi="Times New Roman" w:cs="Times New Roman" w:hint="default"/>
          <w:sz w:val="32"/>
        </w:rPr>
      </w:pPr>
      <w:bookmarkStart w:id="0" w:name="_GoBack"/>
      <w:r>
        <w:rPr>
          <w:rFonts w:ascii="Times New Roman" w:eastAsia="仿宋_GB2312" w:hAnsi="Times New Roman" w:cs="Times New Roman" w:hint="eastAsia"/>
          <w:sz w:val="32"/>
        </w:rPr>
        <w:t>学生〔2022〕221号</w:t>
      </w:r>
    </w:p>
    <w:bookmarkEnd w:id="0"/>
    <w:p>
      <w:pPr>
        <w:adjustRightInd w:val="0"/>
        <w:snapToGrid w:val="0"/>
        <w:jc w:val="center"/>
        <w:rPr>
          <w:rFonts w:ascii="Times New Roman" w:eastAsia="方正小标宋简体" w:hAnsi="Times New Roman" w:cs="Times New Roman" w:hint="default"/>
          <w:sz w:val="44"/>
        </w:rPr>
      </w:pPr>
    </w:p>
    <w:p>
      <w:pPr>
        <w:adjustRightInd w:val="0"/>
        <w:snapToGrid w:val="0"/>
        <w:jc w:val="center"/>
        <w:rPr>
          <w:rFonts w:ascii="Times New Roman" w:eastAsia="方正小标宋简体" w:hAnsi="Times New Roman" w:cs="Times New Roman" w:hint="default"/>
          <w:sz w:val="44"/>
        </w:rPr>
      </w:pPr>
      <w:r>
        <w:rPr>
          <w:rFonts w:ascii="Times New Roman" w:eastAsia="方正小标宋简体" w:hAnsi="Times New Roman" w:cs="Times New Roman" w:hint="default"/>
          <w:sz w:val="44"/>
        </w:rPr>
        <w:t>党委学生工作部关于做好202</w:t>
      </w:r>
      <w:r>
        <w:rPr>
          <w:rFonts w:eastAsia="方正小标宋简体" w:cs="Times New Roman" w:hint="eastAsia"/>
          <w:sz w:val="44"/>
          <w:lang w:val="en-US" w:eastAsia="zh-CN"/>
        </w:rPr>
        <w:t>2</w:t>
      </w:r>
      <w:r>
        <w:rPr>
          <w:rFonts w:ascii="Times New Roman" w:eastAsia="方正小标宋简体" w:hAnsi="Times New Roman" w:cs="Times New Roman" w:hint="default"/>
          <w:sz w:val="44"/>
        </w:rPr>
        <w:t>届毕业生校园地国家助学贷款还款工作的通知</w:t>
      </w:r>
    </w:p>
    <w:p>
      <w:pPr>
        <w:adjustRightInd w:val="0"/>
        <w:snapToGrid w:val="0"/>
        <w:jc w:val="center"/>
        <w:rPr>
          <w:rFonts w:ascii="Times New Roman" w:hAnsi="Times New Roman" w:cs="Times New Roman" w:hint="default"/>
          <w:szCs w:val="21"/>
        </w:rPr>
      </w:pPr>
    </w:p>
    <w:p>
      <w:pPr>
        <w:adjustRightInd w:val="0"/>
        <w:snapToGrid w:val="0"/>
        <w:spacing w:line="560" w:lineRule="atLeast"/>
        <w:rPr>
          <w:rFonts w:ascii="Times New Roman" w:eastAsia="仿宋_GB2312" w:hAnsi="Times New Roman" w:cs="Times New Roman" w:hint="default"/>
          <w:sz w:val="32"/>
        </w:rPr>
      </w:pPr>
    </w:p>
    <w:p>
      <w:pPr>
        <w:adjustRightInd w:val="0"/>
        <w:snapToGrid w:val="0"/>
        <w:spacing w:line="560" w:lineRule="atLeas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各学院、直属系、附属医院</w:t>
      </w:r>
      <w:r>
        <w:rPr>
          <w:rFonts w:ascii="Times New Roman" w:eastAsia="仿宋_GB2312" w:hAnsi="Times New Roman" w:cs="Times New Roman" w:hint="default"/>
          <w:sz w:val="32"/>
          <w:lang w:eastAsia="zh-CN"/>
        </w:rPr>
        <w:t>、</w:t>
      </w:r>
      <w:r>
        <w:rPr>
          <w:rFonts w:ascii="Times New Roman" w:eastAsia="仿宋_GB2312" w:hAnsi="Times New Roman" w:cs="Times New Roman" w:hint="default"/>
          <w:sz w:val="32"/>
          <w:lang w:val="en-US" w:eastAsia="zh-CN"/>
        </w:rPr>
        <w:t>中心</w:t>
      </w:r>
      <w:r>
        <w:rPr>
          <w:rFonts w:ascii="Times New Roman" w:eastAsia="仿宋_GB2312" w:hAnsi="Times New Roman" w:cs="Times New Roman" w:hint="default"/>
          <w:sz w:val="32"/>
        </w:rPr>
        <w:t>：</w:t>
      </w:r>
    </w:p>
    <w:p>
      <w:pPr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根据《</w:t>
      </w:r>
      <w:hyperlink r:id="rId6" w:history="1">
        <w:r>
          <w:rPr>
            <w:rFonts w:ascii="Times New Roman" w:eastAsia="仿宋_GB2312" w:hAnsi="Times New Roman" w:cs="Times New Roman" w:hint="default"/>
            <w:sz w:val="32"/>
          </w:rPr>
          <w:t>中山大学国家助学贷款管理办法</w:t>
        </w:r>
      </w:hyperlink>
      <w:r>
        <w:rPr>
          <w:rFonts w:ascii="Times New Roman" w:eastAsia="仿宋_GB2312" w:hAnsi="Times New Roman" w:cs="Times New Roman" w:hint="default"/>
          <w:sz w:val="32"/>
        </w:rPr>
        <w:t>》（中大学生〔2018〕5号），结合当前实际情况，经与经办银行沟通，202</w:t>
      </w:r>
      <w:r>
        <w:rPr>
          <w:rFonts w:eastAsia="仿宋_GB2312" w:cs="Times New Roman" w:hint="eastAsia"/>
          <w:sz w:val="32"/>
          <w:lang w:val="en-US" w:eastAsia="zh-CN"/>
        </w:rPr>
        <w:t>2</w:t>
      </w:r>
      <w:r>
        <w:rPr>
          <w:rFonts w:ascii="Times New Roman" w:eastAsia="仿宋_GB2312" w:hAnsi="Times New Roman" w:cs="Times New Roman" w:hint="default"/>
          <w:sz w:val="32"/>
        </w:rPr>
        <w:t>届毕业生校园地国家助学贷款还款工作将在线上开展。现将有关事项通知如下：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黑体" w:hAnsi="Times New Roman" w:cs="Times New Roman" w:hint="default"/>
          <w:bCs/>
          <w:sz w:val="32"/>
        </w:rPr>
      </w:pPr>
      <w:r>
        <w:rPr>
          <w:rFonts w:ascii="Times New Roman" w:eastAsia="黑体" w:hAnsi="Times New Roman" w:cs="Times New Roman" w:hint="default"/>
          <w:bCs/>
          <w:sz w:val="32"/>
        </w:rPr>
        <w:t>一、组织方式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依托中国银行手机银行APP或网上银行开展（操作指引见附件</w:t>
      </w:r>
      <w:r>
        <w:rPr>
          <w:rFonts w:ascii="Times New Roman" w:eastAsia="仿宋_GB2312" w:hAnsi="Times New Roman" w:cs="Times New Roman" w:hint="default"/>
          <w:sz w:val="32"/>
          <w:lang w:val="en-US" w:eastAsia="zh-CN"/>
        </w:rPr>
        <w:t>2</w:t>
      </w:r>
      <w:r>
        <w:rPr>
          <w:rFonts w:ascii="Times New Roman" w:eastAsia="仿宋_GB2312" w:hAnsi="Times New Roman" w:cs="Times New Roman" w:hint="default"/>
          <w:sz w:val="32"/>
        </w:rPr>
        <w:t>）。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黑体" w:hAnsi="Times New Roman" w:cs="Times New Roman" w:hint="default"/>
          <w:sz w:val="32"/>
        </w:rPr>
      </w:pPr>
      <w:r>
        <w:rPr>
          <w:rFonts w:ascii="Times New Roman" w:eastAsia="黑体" w:hAnsi="Times New Roman" w:cs="Times New Roman" w:hint="default"/>
          <w:sz w:val="32"/>
        </w:rPr>
        <w:t>二、业务类别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黑体" w:hAnsi="Times New Roman" w:cs="Times New Roman" w:hint="default"/>
          <w:b/>
          <w:bCs/>
          <w:sz w:val="32"/>
        </w:rPr>
      </w:pPr>
      <w:r>
        <w:rPr>
          <w:rFonts w:ascii="Times New Roman" w:eastAsia="仿宋_GB2312" w:hAnsi="Times New Roman" w:cs="Times New Roman" w:hint="default"/>
          <w:b/>
          <w:bCs/>
          <w:sz w:val="32"/>
        </w:rPr>
        <w:t>（一）正常还款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1.办理对象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bCs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1）</w:t>
      </w:r>
      <w:r>
        <w:rPr>
          <w:rFonts w:ascii="Times New Roman" w:eastAsia="仿宋_GB2312" w:hAnsi="Times New Roman" w:cs="Times New Roman" w:hint="default"/>
          <w:bCs/>
          <w:sz w:val="32"/>
        </w:rPr>
        <w:t>办理了校园地国家助学贷款的202</w:t>
      </w:r>
      <w:r>
        <w:rPr>
          <w:rFonts w:eastAsia="仿宋_GB2312" w:cs="Times New Roman" w:hint="eastAsia"/>
          <w:bCs/>
          <w:sz w:val="32"/>
          <w:lang w:val="en-US" w:eastAsia="zh-CN"/>
        </w:rPr>
        <w:t>2</w:t>
      </w:r>
      <w:r>
        <w:rPr>
          <w:rFonts w:ascii="Times New Roman" w:eastAsia="仿宋_GB2312" w:hAnsi="Times New Roman" w:cs="Times New Roman" w:hint="default"/>
          <w:bCs/>
          <w:sz w:val="32"/>
        </w:rPr>
        <w:t>届全日制毕业生；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2）办理了</w:t>
      </w:r>
      <w:r>
        <w:rPr>
          <w:rFonts w:ascii="Times New Roman" w:eastAsia="仿宋_GB2312" w:hAnsi="Times New Roman" w:cs="Times New Roman" w:hint="default"/>
          <w:bCs/>
          <w:sz w:val="32"/>
        </w:rPr>
        <w:t>贷款展期且202</w:t>
      </w:r>
      <w:r>
        <w:rPr>
          <w:rFonts w:eastAsia="仿宋_GB2312" w:cs="Times New Roman" w:hint="eastAsia"/>
          <w:bCs/>
          <w:sz w:val="32"/>
          <w:lang w:val="en-US" w:eastAsia="zh-CN"/>
        </w:rPr>
        <w:t>2</w:t>
      </w:r>
      <w:r>
        <w:rPr>
          <w:rFonts w:ascii="Times New Roman" w:eastAsia="仿宋_GB2312" w:hAnsi="Times New Roman" w:cs="Times New Roman" w:hint="default"/>
          <w:bCs/>
          <w:sz w:val="32"/>
        </w:rPr>
        <w:t>年展期到期的学生</w:t>
      </w:r>
      <w:r>
        <w:rPr>
          <w:rFonts w:ascii="Times New Roman" w:eastAsia="仿宋_GB2312" w:hAnsi="Times New Roman" w:cs="Times New Roman" w:hint="default"/>
          <w:sz w:val="32"/>
        </w:rPr>
        <w:t>。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pict>
          <v:line id="直接连接符 3" o:spid="_x0000_s1027" style="mso-height-relative:page;mso-position-horizontal-relative:page;mso-position-vertical-relative:page;mso-width-relative:margin;position:absolute;z-index:251660288" from="56.15pt,774.3pt" to="538.05pt,774.3pt" coordsize="21600,21600" stroked="t" strokecolor="red">
            <v:stroke linestyle="thinThick"/>
          </v:line>
        </w:pict>
      </w:r>
      <w:r>
        <w:rPr>
          <w:rFonts w:ascii="Times New Roman" w:eastAsia="仿宋_GB2312" w:hAnsi="Times New Roman" w:cs="Times New Roman" w:hint="default"/>
          <w:sz w:val="32"/>
        </w:rPr>
        <w:t>2.操作流程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1）6月</w:t>
      </w:r>
      <w:r>
        <w:rPr>
          <w:rFonts w:ascii="Times New Roman" w:eastAsia="仿宋_GB2312" w:hAnsi="Times New Roman" w:cs="Times New Roman" w:hint="default"/>
          <w:sz w:val="32"/>
          <w:lang w:val="en-US" w:eastAsia="zh-CN"/>
        </w:rPr>
        <w:t>20</w:t>
      </w:r>
      <w:r>
        <w:rPr>
          <w:rFonts w:ascii="Times New Roman" w:eastAsia="仿宋_GB2312" w:hAnsi="Times New Roman" w:cs="Times New Roman" w:hint="default"/>
          <w:sz w:val="32"/>
        </w:rPr>
        <w:t>日前，</w:t>
      </w:r>
      <w:r>
        <w:rPr>
          <w:rFonts w:ascii="Times New Roman" w:hAnsi="Times New Roman" w:cs="Times New Roman" w:hint="default"/>
        </w:rPr>
        <w:t xml:space="preserve"> </w:t>
      </w:r>
      <w:r>
        <w:rPr>
          <w:rFonts w:ascii="Times New Roman" w:eastAsia="仿宋_GB2312" w:hAnsi="Times New Roman" w:cs="Times New Roman" w:hint="default"/>
          <w:sz w:val="32"/>
        </w:rPr>
        <w:t>学生通过中国银行手机银行或网上银行签署提交《国家助学贷款还款协议》（操作指引见附件</w:t>
      </w:r>
      <w:r>
        <w:rPr>
          <w:rFonts w:ascii="Times New Roman" w:eastAsia="仿宋_GB2312" w:hAnsi="Times New Roman" w:cs="Times New Roman" w:hint="default"/>
          <w:sz w:val="32"/>
          <w:lang w:val="en-US" w:eastAsia="zh-CN"/>
        </w:rPr>
        <w:t>2</w:t>
      </w:r>
      <w:r>
        <w:rPr>
          <w:rFonts w:ascii="Times New Roman" w:eastAsia="仿宋_GB2312" w:hAnsi="Times New Roman" w:cs="Times New Roman" w:hint="default"/>
          <w:sz w:val="32"/>
        </w:rPr>
        <w:t>）；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2）银行审批。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3.还款期</w:t>
      </w:r>
      <w:r>
        <w:rPr>
          <w:rFonts w:ascii="Times New Roman" w:eastAsia="仿宋_GB2312" w:hAnsi="Times New Roman" w:cs="Times New Roman" w:hint="default"/>
          <w:color w:val="auto"/>
          <w:sz w:val="32"/>
        </w:rPr>
        <w:t>限：毕业后</w:t>
      </w:r>
      <w:r>
        <w:rPr>
          <w:rFonts w:ascii="Times New Roman" w:eastAsia="仿宋_GB2312" w:hAnsi="Times New Roman" w:cs="Times New Roman" w:hint="default"/>
          <w:color w:val="auto"/>
          <w:sz w:val="32"/>
          <w:lang w:val="en-US" w:eastAsia="zh-CN"/>
        </w:rPr>
        <w:t>15</w:t>
      </w:r>
      <w:r>
        <w:rPr>
          <w:rFonts w:ascii="Times New Roman" w:eastAsia="仿宋_GB2312" w:hAnsi="Times New Roman" w:cs="Times New Roman" w:hint="default"/>
          <w:color w:val="auto"/>
          <w:sz w:val="32"/>
        </w:rPr>
        <w:t>年。前3</w:t>
      </w:r>
      <w:r>
        <w:rPr>
          <w:rFonts w:ascii="Times New Roman" w:eastAsia="仿宋_GB2312" w:hAnsi="Times New Roman" w:cs="Times New Roman" w:hint="default"/>
          <w:sz w:val="32"/>
        </w:rPr>
        <w:t>年每月只需归还贷款利息，不需归还本金</w:t>
      </w:r>
      <w:r>
        <w:rPr>
          <w:rFonts w:eastAsia="仿宋_GB2312" w:cs="Times New Roman" w:hint="eastAsia"/>
          <w:sz w:val="32"/>
          <w:lang w:eastAsia="zh-CN"/>
        </w:rPr>
        <w:t>（</w:t>
      </w:r>
      <w:r>
        <w:rPr>
          <w:rFonts w:eastAsia="仿宋_GB2312" w:cs="Times New Roman" w:hint="eastAsia"/>
          <w:sz w:val="32"/>
          <w:lang w:val="en-US" w:eastAsia="zh-CN"/>
        </w:rPr>
        <w:t>由于新政策调整，如有需要，可联系银行申请延迟还本金</w:t>
      </w:r>
      <w:r>
        <w:rPr>
          <w:rFonts w:eastAsia="仿宋_GB2312" w:cs="Times New Roman" w:hint="eastAsia"/>
          <w:sz w:val="32"/>
          <w:lang w:eastAsia="zh-CN"/>
        </w:rPr>
        <w:t>）</w:t>
      </w:r>
      <w:r>
        <w:rPr>
          <w:rFonts w:ascii="Times New Roman" w:eastAsia="仿宋_GB2312" w:hAnsi="Times New Roman" w:cs="Times New Roman" w:hint="default"/>
          <w:sz w:val="32"/>
        </w:rPr>
        <w:t>；第4年起，每月需偿还本金+利息。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b/>
          <w:bCs/>
          <w:sz w:val="32"/>
          <w:lang w:val="en-US" w:eastAsia="zh-CN"/>
        </w:rPr>
      </w:pPr>
      <w:r>
        <w:rPr>
          <w:rFonts w:eastAsia="仿宋_GB2312" w:cs="Times New Roman" w:hint="eastAsia"/>
          <w:b/>
          <w:bCs/>
          <w:sz w:val="32"/>
          <w:lang w:val="en-US" w:eastAsia="zh-CN"/>
        </w:rPr>
        <w:t>重要提醒：具体还款计划务必以中国银行APP上还款计划为准。</w:t>
      </w:r>
    </w:p>
    <w:p>
      <w:pPr>
        <w:widowControl/>
        <w:numPr>
          <w:ilvl w:val="0"/>
          <w:numId w:val="0"/>
        </w:numPr>
        <w:spacing w:line="360" w:lineRule="auto"/>
        <w:ind w:firstLine="640" w:firstLineChars="200"/>
        <w:jc w:val="left"/>
        <w:rPr>
          <w:rFonts w:eastAsia="仿宋_GB2312" w:cs="Times New Roman" w:hint="eastAsia"/>
          <w:sz w:val="32"/>
          <w:lang w:eastAsia="zh-CN"/>
        </w:rPr>
      </w:pPr>
      <w:r>
        <w:rPr>
          <w:rFonts w:eastAsia="仿宋_GB2312" w:cs="Times New Roman" w:hint="eastAsia"/>
          <w:sz w:val="32"/>
          <w:lang w:val="en-US" w:eastAsia="zh-CN"/>
        </w:rPr>
        <w:t>4.</w:t>
      </w:r>
      <w:r>
        <w:rPr>
          <w:rFonts w:ascii="Times New Roman" w:eastAsia="仿宋_GB2312" w:hAnsi="Times New Roman" w:cs="Times New Roman" w:hint="default"/>
          <w:sz w:val="32"/>
        </w:rPr>
        <w:t>还款日：每月1日。首个还款日为202</w:t>
      </w:r>
      <w:r>
        <w:rPr>
          <w:rFonts w:eastAsia="仿宋_GB2312" w:cs="Times New Roman" w:hint="eastAsia"/>
          <w:sz w:val="32"/>
          <w:lang w:val="en-US" w:eastAsia="zh-CN"/>
        </w:rPr>
        <w:t>2</w:t>
      </w:r>
      <w:r>
        <w:rPr>
          <w:rFonts w:ascii="Times New Roman" w:eastAsia="仿宋_GB2312" w:hAnsi="Times New Roman" w:cs="Times New Roman" w:hint="default"/>
          <w:sz w:val="32"/>
        </w:rPr>
        <w:t>年8月1日</w:t>
      </w:r>
      <w:r>
        <w:rPr>
          <w:rFonts w:eastAsia="仿宋_GB2312" w:cs="Times New Roman" w:hint="eastAsia"/>
          <w:sz w:val="32"/>
          <w:lang w:eastAsia="zh-CN"/>
        </w:rPr>
        <w:t>。</w:t>
      </w:r>
    </w:p>
    <w:p>
      <w:pPr>
        <w:widowControl/>
        <w:numPr>
          <w:ilvl w:val="0"/>
          <w:numId w:val="0"/>
        </w:numPr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eastAsia="仿宋_GB2312" w:cs="Times New Roman" w:hint="eastAsia"/>
          <w:b/>
          <w:bCs/>
          <w:color w:val="auto"/>
          <w:sz w:val="32"/>
          <w:lang w:val="en-US" w:eastAsia="zh-CN"/>
        </w:rPr>
        <w:t>重要提醒：请务必在首次还款日登录中国银行APP确认还款是否正常</w:t>
      </w:r>
      <w:r>
        <w:rPr>
          <w:rFonts w:ascii="Times New Roman" w:eastAsia="仿宋_GB2312" w:hAnsi="Times New Roman" w:cs="Times New Roman" w:hint="default"/>
          <w:sz w:val="32"/>
        </w:rPr>
        <w:t>。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b/>
          <w:bCs/>
          <w:sz w:val="32"/>
        </w:rPr>
      </w:pPr>
      <w:r>
        <w:rPr>
          <w:rFonts w:ascii="Times New Roman" w:eastAsia="仿宋_GB2312" w:hAnsi="Times New Roman" w:cs="Times New Roman" w:hint="default"/>
          <w:b/>
          <w:bCs/>
          <w:sz w:val="32"/>
        </w:rPr>
        <w:t>（二）提前还款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1.6月30日前提前偿还贷款本金，利息继续由财政贴息；6月30日后提前偿还贷款本金，可选择部分还款或全部还款。银行按贷款实际天数计收利息，利息由学生本人支付，银行不加收除应付利息之外的其他任何费用。部分还款的次数不限，部分还款后按实际剩余贷款本金计收利息。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2.还款途经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学生可通过中国银行手机银行或网上银行自行还款</w:t>
      </w:r>
      <w:r>
        <w:rPr>
          <w:rFonts w:eastAsia="仿宋_GB2312" w:cs="Times New Roman" w:hint="eastAsia"/>
          <w:sz w:val="32"/>
          <w:lang w:eastAsia="zh-CN"/>
        </w:rPr>
        <w:t>，</w:t>
      </w:r>
      <w:r>
        <w:rPr>
          <w:rFonts w:eastAsia="仿宋_GB2312" w:cs="Times New Roman" w:hint="eastAsia"/>
          <w:b/>
          <w:bCs/>
          <w:color w:val="auto"/>
          <w:sz w:val="32"/>
          <w:lang w:val="en-US" w:eastAsia="zh-CN"/>
        </w:rPr>
        <w:t>必需按照各笔贷款的放款日期，从前到后按顺序还款，否则提示还款失败</w:t>
      </w:r>
      <w:r>
        <w:rPr>
          <w:rFonts w:ascii="Times New Roman" w:eastAsia="仿宋_GB2312" w:hAnsi="Times New Roman" w:cs="Times New Roman" w:hint="default"/>
          <w:b/>
          <w:bCs/>
          <w:color w:val="auto"/>
          <w:sz w:val="32"/>
        </w:rPr>
        <w:t>。</w:t>
      </w:r>
      <w:r>
        <w:rPr>
          <w:rFonts w:ascii="Times New Roman" w:eastAsia="仿宋_GB2312" w:hAnsi="Times New Roman" w:cs="Times New Roman" w:hint="default"/>
          <w:sz w:val="32"/>
        </w:rPr>
        <w:t>提前还款操作的安全工具是“手机交易码+动态口令”或“手机盾”，即没有开立中国银行动态口令牌或开通手机盾，还款无法操作（开通说明见附件</w:t>
      </w:r>
      <w:r>
        <w:rPr>
          <w:rFonts w:ascii="Times New Roman" w:eastAsia="仿宋_GB2312" w:hAnsi="Times New Roman" w:cs="Times New Roman" w:hint="default"/>
          <w:sz w:val="32"/>
          <w:lang w:val="en-US" w:eastAsia="zh-CN"/>
        </w:rPr>
        <w:t>2</w:t>
      </w:r>
      <w:r>
        <w:rPr>
          <w:rFonts w:ascii="Times New Roman" w:eastAsia="仿宋_GB2312" w:hAnsi="Times New Roman" w:cs="Times New Roman" w:hint="default"/>
          <w:sz w:val="32"/>
        </w:rPr>
        <w:t>）。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3.已签署正常还款协议的同学，仍可通过手机银行或网上银行办理提前部分或全部还款，6月30日前利息继续由财政贴息，学生只需归还贷款本金（操作指引见附件</w:t>
      </w:r>
      <w:r>
        <w:rPr>
          <w:rFonts w:ascii="Times New Roman" w:eastAsia="仿宋_GB2312" w:hAnsi="Times New Roman" w:cs="Times New Roman" w:hint="default"/>
          <w:sz w:val="32"/>
          <w:lang w:val="en-US" w:eastAsia="zh-CN"/>
        </w:rPr>
        <w:t>2</w:t>
      </w:r>
      <w:r>
        <w:rPr>
          <w:rFonts w:ascii="Times New Roman" w:eastAsia="仿宋_GB2312" w:hAnsi="Times New Roman" w:cs="Times New Roman" w:hint="default"/>
          <w:sz w:val="32"/>
        </w:rPr>
        <w:t>）。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b/>
          <w:bCs/>
          <w:sz w:val="32"/>
        </w:rPr>
      </w:pPr>
      <w:r>
        <w:rPr>
          <w:rFonts w:ascii="Times New Roman" w:eastAsia="仿宋_GB2312" w:hAnsi="Times New Roman" w:cs="Times New Roman" w:hint="default"/>
          <w:b/>
          <w:bCs/>
          <w:sz w:val="32"/>
        </w:rPr>
        <w:t>（三）申请展期（继续贴息）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1.办理对象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1）本科毕业生、硕士毕业生取得中山大学的硕士、博士研究生入学资格或硕博连读资格;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2）本应202</w:t>
      </w:r>
      <w:r>
        <w:rPr>
          <w:rFonts w:eastAsia="仿宋_GB2312" w:cs="Times New Roman" w:hint="eastAsia"/>
          <w:sz w:val="32"/>
          <w:lang w:val="en-US" w:eastAsia="zh-CN"/>
        </w:rPr>
        <w:t>2</w:t>
      </w:r>
      <w:r>
        <w:rPr>
          <w:rFonts w:ascii="Times New Roman" w:eastAsia="仿宋_GB2312" w:hAnsi="Times New Roman" w:cs="Times New Roman" w:hint="default"/>
          <w:sz w:val="32"/>
        </w:rPr>
        <w:t>年毕业，因降级试读、休学、延期等原因仍继续在我校读书的学生。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b/>
          <w:bCs/>
          <w:color w:val="auto"/>
          <w:sz w:val="32"/>
        </w:rPr>
      </w:pPr>
      <w:r>
        <w:rPr>
          <w:rFonts w:ascii="Times New Roman" w:eastAsia="仿宋_GB2312" w:hAnsi="Times New Roman" w:cs="Times New Roman" w:hint="default"/>
          <w:b/>
          <w:bCs/>
          <w:color w:val="auto"/>
          <w:sz w:val="32"/>
        </w:rPr>
        <w:t>注意：取得外校读硕士、博士资格的学生因不符合在海珠区中国银行申请贷款展期的条件，须按正常还款流程还款。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2.操作流程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1）6月30日前，学生通过中国银行手机银行或网上银行申请提交</w:t>
      </w:r>
      <w:r>
        <w:rPr>
          <w:rFonts w:ascii="Times New Roman" w:eastAsia="仿宋_GB2312" w:hAnsi="Times New Roman" w:cs="Times New Roman" w:hint="default"/>
          <w:sz w:val="32"/>
          <w:lang w:eastAsia="zh-CN"/>
        </w:rPr>
        <w:t>：先签署《国家助学贷款还款协议》（按正常还款流程办理），</w:t>
      </w:r>
      <w:r>
        <w:rPr>
          <w:rFonts w:ascii="Times New Roman" w:eastAsia="仿宋_GB2312" w:hAnsi="Times New Roman" w:cs="Times New Roman" w:hint="default"/>
          <w:sz w:val="32"/>
        </w:rPr>
        <w:t>待收到录取通知书后再</w:t>
      </w:r>
      <w:r>
        <w:rPr>
          <w:rFonts w:ascii="Times New Roman" w:eastAsia="仿宋_GB2312" w:hAnsi="Times New Roman" w:cs="Times New Roman" w:hint="default"/>
          <w:sz w:val="32"/>
          <w:lang w:val="en-US" w:eastAsia="zh-CN"/>
        </w:rPr>
        <w:t>签署</w:t>
      </w:r>
      <w:r>
        <w:rPr>
          <w:rFonts w:ascii="Times New Roman" w:eastAsia="仿宋_GB2312" w:hAnsi="Times New Roman" w:cs="Times New Roman" w:hint="default"/>
          <w:sz w:val="32"/>
        </w:rPr>
        <w:t>提交</w:t>
      </w:r>
      <w:r>
        <w:rPr>
          <w:rFonts w:ascii="Times New Roman" w:eastAsia="仿宋_GB2312" w:hAnsi="Times New Roman" w:cs="Times New Roman" w:hint="default"/>
          <w:sz w:val="32"/>
          <w:lang w:eastAsia="zh-CN"/>
        </w:rPr>
        <w:t>《国家助学贷款调整还款计划及贴息申请书》</w:t>
      </w:r>
      <w:r>
        <w:rPr>
          <w:rFonts w:ascii="Times New Roman" w:eastAsia="仿宋_GB2312" w:hAnsi="Times New Roman" w:cs="Times New Roman" w:hint="default"/>
          <w:sz w:val="32"/>
        </w:rPr>
        <w:t>（</w:t>
      </w:r>
      <w:r>
        <w:rPr>
          <w:rFonts w:ascii="Times New Roman" w:eastAsia="仿宋_GB2312" w:hAnsi="Times New Roman" w:cs="Times New Roman" w:hint="default"/>
          <w:sz w:val="32"/>
          <w:lang w:val="en-US" w:eastAsia="zh-CN"/>
        </w:rPr>
        <w:t>附件1，</w:t>
      </w:r>
      <w:r>
        <w:rPr>
          <w:rFonts w:ascii="Times New Roman" w:eastAsia="仿宋_GB2312" w:hAnsi="Times New Roman" w:cs="Times New Roman" w:hint="default"/>
          <w:sz w:val="32"/>
        </w:rPr>
        <w:t>操作指引见附件</w:t>
      </w:r>
      <w:r>
        <w:rPr>
          <w:rFonts w:ascii="Times New Roman" w:eastAsia="仿宋_GB2312" w:hAnsi="Times New Roman" w:cs="Times New Roman" w:hint="default"/>
          <w:sz w:val="32"/>
          <w:lang w:val="en-US" w:eastAsia="zh-CN"/>
        </w:rPr>
        <w:t>2</w:t>
      </w:r>
      <w:r>
        <w:rPr>
          <w:rFonts w:ascii="Times New Roman" w:eastAsia="仿宋_GB2312" w:hAnsi="Times New Roman" w:cs="Times New Roman" w:hint="default"/>
          <w:sz w:val="32"/>
        </w:rPr>
        <w:t>）。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注：《国家助学贷款还款协议》必须在6月30日前签署</w:t>
      </w:r>
      <w:r>
        <w:rPr>
          <w:rFonts w:ascii="Times New Roman" w:eastAsia="仿宋_GB2312" w:hAnsi="Times New Roman" w:cs="Times New Roman" w:hint="default"/>
          <w:sz w:val="32"/>
          <w:lang w:val="en-US" w:eastAsia="zh-CN"/>
        </w:rPr>
        <w:t>并提交</w:t>
      </w:r>
      <w:r>
        <w:rPr>
          <w:rFonts w:ascii="Times New Roman" w:eastAsia="仿宋_GB2312" w:hAnsi="Times New Roman" w:cs="Times New Roman" w:hint="default"/>
          <w:sz w:val="32"/>
        </w:rPr>
        <w:t>。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2）培养单位于7月10日通过中国银行的审批系统审核学生的展期资料（网址为</w:t>
      </w:r>
      <w:hyperlink r:id="rId7" w:history="1">
        <w:r>
          <w:rPr>
            <w:rStyle w:val="Hyperlink"/>
            <w:rFonts w:ascii="Times New Roman" w:eastAsia="仿宋_GB2312" w:hAnsi="Times New Roman" w:cs="Times New Roman" w:hint="default"/>
            <w:sz w:val="32"/>
          </w:rPr>
          <w:t>https://e.boc.cn/stuloan/</w:t>
        </w:r>
      </w:hyperlink>
      <w:r>
        <w:rPr>
          <w:rFonts w:ascii="Times New Roman" w:eastAsia="仿宋_GB2312" w:hAnsi="Times New Roman" w:cs="Times New Roman" w:hint="default"/>
          <w:sz w:val="32"/>
        </w:rPr>
        <w:t>，用户名和密码与贷款审核时相同）。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3）党委学生工作部于7月15日前完成复核。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4）银行审批。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注意：请务必留意银行审核通过时间，如202</w:t>
      </w:r>
      <w:r>
        <w:rPr>
          <w:rFonts w:eastAsia="仿宋_GB2312" w:cs="Times New Roman" w:hint="eastAsia"/>
          <w:sz w:val="32"/>
          <w:lang w:val="en-US" w:eastAsia="zh-CN"/>
        </w:rPr>
        <w:t>2</w:t>
      </w:r>
      <w:r>
        <w:rPr>
          <w:rFonts w:ascii="Times New Roman" w:eastAsia="仿宋_GB2312" w:hAnsi="Times New Roman" w:cs="Times New Roman" w:hint="default"/>
          <w:sz w:val="32"/>
        </w:rPr>
        <w:t>年8月1日前未审核通过，请按正常还款协议约定进行供款。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黑体" w:hAnsi="Times New Roman" w:cs="Times New Roman" w:hint="default"/>
          <w:bCs/>
          <w:sz w:val="32"/>
        </w:rPr>
        <w:t>三、</w:t>
      </w:r>
      <w:r>
        <w:rPr>
          <w:rFonts w:ascii="Times New Roman" w:eastAsia="黑体" w:hAnsi="Times New Roman" w:cs="Times New Roman" w:hint="default"/>
          <w:sz w:val="32"/>
        </w:rPr>
        <w:t>中国银行联系方式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 xml:space="preserve">联系人：骆经理   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联系电话：020-89040548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银行咨询邮箱：2623251275@qq.com</w:t>
      </w: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邮寄地址：广州市广州大道南880-882号和平商务中心首层</w:t>
      </w:r>
    </w:p>
    <w:p>
      <w:pPr>
        <w:widowControl/>
        <w:spacing w:line="360" w:lineRule="auto"/>
        <w:jc w:val="left"/>
        <w:rPr>
          <w:rFonts w:ascii="Times New Roman" w:eastAsia="仿宋_GB2312" w:hAnsi="Times New Roman" w:cs="Times New Roman" w:hint="default"/>
          <w:spacing w:val="20"/>
          <w:sz w:val="32"/>
        </w:rPr>
      </w:pPr>
    </w:p>
    <w:p>
      <w:pPr>
        <w:widowControl/>
        <w:spacing w:line="360" w:lineRule="auto"/>
        <w:ind w:firstLine="640" w:firstLineChars="200"/>
        <w:jc w:val="lef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spacing w:val="20"/>
          <w:sz w:val="32"/>
        </w:rPr>
        <w:t>附</w:t>
      </w:r>
      <w:r>
        <w:rPr>
          <w:rFonts w:ascii="Times New Roman" w:eastAsia="仿宋_GB2312" w:hAnsi="Times New Roman" w:cs="Times New Roman" w:hint="default"/>
          <w:sz w:val="32"/>
        </w:rPr>
        <w:t>件：1.</w:t>
      </w:r>
      <w:bookmarkStart w:id="1" w:name="_Hlk40643306"/>
      <w:r>
        <w:rPr>
          <w:rFonts w:ascii="Times New Roman" w:eastAsia="仿宋_GB2312" w:hAnsi="Times New Roman" w:cs="Times New Roman" w:hint="default"/>
          <w:sz w:val="32"/>
        </w:rPr>
        <w:t>国家助学贷款调整还款计划及贴息申请书</w:t>
      </w:r>
      <w:bookmarkEnd w:id="1"/>
    </w:p>
    <w:p>
      <w:pPr>
        <w:widowControl/>
        <w:tabs>
          <w:tab w:val="left" w:pos="312"/>
        </w:tabs>
        <w:spacing w:line="360" w:lineRule="auto"/>
        <w:ind w:left="1759"/>
        <w:jc w:val="left"/>
        <w:rPr>
          <w:rFonts w:ascii="Times New Roman" w:eastAsia="仿宋_GB2312" w:hAnsi="Times New Roman" w:cs="Times New Roman" w:hint="default"/>
          <w:sz w:val="18"/>
        </w:rPr>
      </w:pPr>
      <w:r>
        <w:rPr>
          <w:rFonts w:ascii="Times New Roman" w:eastAsia="仿宋_GB2312" w:hAnsi="Times New Roman" w:cs="Times New Roman" w:hint="default"/>
          <w:sz w:val="32"/>
        </w:rPr>
        <w:t>2.202</w:t>
      </w:r>
      <w:r>
        <w:rPr>
          <w:rFonts w:eastAsia="仿宋_GB2312" w:cs="Times New Roman" w:hint="eastAsia"/>
          <w:sz w:val="32"/>
          <w:lang w:val="en-US" w:eastAsia="zh-CN"/>
        </w:rPr>
        <w:t>2</w:t>
      </w:r>
      <w:r>
        <w:rPr>
          <w:rFonts w:ascii="Times New Roman" w:eastAsia="仿宋_GB2312" w:hAnsi="Times New Roman" w:cs="Times New Roman" w:hint="default"/>
          <w:sz w:val="32"/>
        </w:rPr>
        <w:t>届毕业生校园地国家助学贷款还款指引</w:t>
      </w:r>
      <w:r>
        <w:rPr>
          <w:rFonts w:ascii="Times New Roman" w:eastAsia="仿宋_GB2312" w:hAnsi="Times New Roman" w:cs="Times New Roman" w:hint="default"/>
          <w:sz w:val="18"/>
        </w:rPr>
        <w:t xml:space="preserve">                                                                                  </w:t>
      </w:r>
    </w:p>
    <w:p>
      <w:pPr>
        <w:tabs>
          <w:tab w:val="left" w:pos="7920"/>
        </w:tabs>
        <w:adjustRightInd w:val="0"/>
        <w:snapToGrid w:val="0"/>
        <w:spacing w:line="560" w:lineRule="atLeast"/>
        <w:ind w:right="1926" w:rightChars="917"/>
        <w:jc w:val="right"/>
        <w:rPr>
          <w:rFonts w:ascii="Times New Roman" w:eastAsia="仿宋_GB2312" w:hAnsi="Times New Roman" w:cs="Times New Roman" w:hint="default"/>
          <w:color w:val="000000"/>
          <w:spacing w:val="20"/>
          <w:sz w:val="32"/>
        </w:rPr>
      </w:pPr>
      <w:r>
        <w:rPr>
          <w:rFonts w:ascii="Times New Roman" w:eastAsia="仿宋_GB2312" w:hAnsi="Times New Roman" w:cs="Times New Roman" w:hint="default"/>
          <w:color w:val="000000"/>
          <w:spacing w:val="20"/>
          <w:sz w:val="32"/>
        </w:rPr>
        <w:t xml:space="preserve">     </w:t>
      </w:r>
    </w:p>
    <w:p>
      <w:pPr>
        <w:tabs>
          <w:tab w:val="left" w:pos="0"/>
          <w:tab w:val="left" w:pos="7920"/>
        </w:tabs>
        <w:adjustRightInd w:val="0"/>
        <w:snapToGrid w:val="0"/>
        <w:spacing w:line="560" w:lineRule="atLeast"/>
        <w:ind w:right="109" w:firstLine="4800" w:rightChars="52" w:firstLineChars="1500"/>
        <w:rPr>
          <w:rFonts w:ascii="Times New Roman" w:eastAsia="仿宋_GB2312" w:hAnsi="Times New Roman" w:cs="Times New Roman" w:hint="default"/>
          <w:color w:val="000000"/>
          <w:spacing w:val="-6"/>
          <w:sz w:val="18"/>
          <w:szCs w:val="18"/>
        </w:rPr>
      </w:pPr>
      <w:r>
        <w:rPr>
          <w:rFonts w:ascii="Times New Roman" w:eastAsia="仿宋_GB2312" w:hAnsi="Times New Roman" w:cs="Times New Roman" w:hint="default"/>
          <w:color w:val="000000"/>
          <w:spacing w:val="20"/>
          <w:sz w:val="32"/>
        </w:rPr>
        <w:t>党委学生工作部</w:t>
      </w:r>
    </w:p>
    <w:p>
      <w:pPr>
        <w:adjustRightInd w:val="0"/>
        <w:snapToGrid w:val="0"/>
        <w:spacing w:line="560" w:lineRule="atLeast"/>
        <w:ind w:right="840" w:firstLine="720" w:rightChars="400"/>
        <w:jc w:val="right"/>
        <w:rPr>
          <w:rFonts w:ascii="Times New Roman" w:eastAsia="仿宋_GB2312" w:hAnsi="Times New Roman" w:cs="Times New Roman" w:hint="default"/>
          <w:sz w:val="32"/>
        </w:rPr>
      </w:pPr>
      <w:r>
        <w:rPr>
          <w:rFonts w:ascii="Times New Roman" w:eastAsia="仿宋_GB2312" w:hAnsi="Times New Roman" w:cs="Times New Roman" w:hint="default"/>
          <w:color w:val="000000"/>
          <w:spacing w:val="20"/>
          <w:sz w:val="32"/>
        </w:rPr>
        <w:t>20</w:t>
      </w:r>
      <w:r>
        <w:rPr>
          <w:rFonts w:ascii="Times New Roman" w:hAnsi="Times New Roman" w:cs="Times New Roman" w:hint="default"/>
          <w:color w:val="000000"/>
          <w:sz w:val="32"/>
        </w:rPr>
        <w:t>2</w:t>
      </w:r>
      <w:r>
        <w:rPr>
          <w:rFonts w:cs="Times New Roman" w:hint="eastAsia"/>
          <w:color w:val="000000"/>
          <w:sz w:val="32"/>
          <w:lang w:val="en-US" w:eastAsia="zh-CN"/>
        </w:rPr>
        <w:t>2</w:t>
      </w:r>
      <w:r>
        <w:rPr>
          <w:rFonts w:ascii="Times New Roman" w:eastAsia="仿宋_GB2312" w:hAnsi="Times New Roman" w:cs="Times New Roman" w:hint="default"/>
          <w:color w:val="000000"/>
          <w:spacing w:val="20"/>
          <w:sz w:val="32"/>
        </w:rPr>
        <w:t>年</w:t>
      </w:r>
      <w:r>
        <w:rPr>
          <w:rFonts w:ascii="Times New Roman" w:eastAsia="仿宋_GB2312" w:hAnsi="Times New Roman" w:cs="Times New Roman" w:hint="default"/>
          <w:color w:val="000000"/>
          <w:sz w:val="32"/>
        </w:rPr>
        <w:t>5</w:t>
      </w:r>
      <w:r>
        <w:rPr>
          <w:rFonts w:ascii="Times New Roman" w:eastAsia="仿宋_GB2312" w:hAnsi="Times New Roman" w:cs="Times New Roman" w:hint="default"/>
          <w:color w:val="000000"/>
          <w:spacing w:val="20"/>
          <w:sz w:val="32"/>
        </w:rPr>
        <w:t>月2</w:t>
      </w:r>
      <w:r>
        <w:rPr>
          <w:rFonts w:eastAsia="仿宋_GB2312" w:cs="Times New Roman" w:hint="eastAsia"/>
          <w:color w:val="000000"/>
          <w:spacing w:val="20"/>
          <w:sz w:val="32"/>
          <w:lang w:val="en-US" w:eastAsia="zh-CN"/>
        </w:rPr>
        <w:t>7</w:t>
      </w:r>
      <w:r>
        <w:rPr>
          <w:rFonts w:ascii="Times New Roman" w:eastAsia="仿宋_GB2312" w:hAnsi="Times New Roman" w:cs="Times New Roman" w:hint="default"/>
          <w:color w:val="000000"/>
          <w:spacing w:val="20"/>
          <w:sz w:val="32"/>
        </w:rPr>
        <w:t>日</w:t>
      </w:r>
    </w:p>
    <w:p>
      <w:pPr>
        <w:adjustRightInd w:val="0"/>
        <w:snapToGrid w:val="0"/>
        <w:spacing w:line="560" w:lineRule="atLeast"/>
        <w:ind w:right="1073" w:firstLine="567" w:rightChars="511"/>
        <w:rPr>
          <w:rFonts w:ascii="Times New Roman" w:eastAsia="仿宋_GB2312" w:hAnsi="Times New Roman" w:cs="Times New Roman" w:hint="default"/>
          <w:spacing w:val="20"/>
          <w:sz w:val="32"/>
        </w:rPr>
      </w:pPr>
      <w:r>
        <w:rPr>
          <w:rFonts w:ascii="Times New Roman" w:eastAsia="仿宋_GB2312" w:hAnsi="Times New Roman" w:cs="Times New Roman" w:hint="default"/>
          <w:sz w:val="32"/>
        </w:rPr>
        <w:t>（联系人：林琳，联系</w:t>
      </w:r>
      <w:r>
        <w:rPr>
          <w:rFonts w:ascii="Times New Roman" w:eastAsia="仿宋_GB2312" w:hAnsi="Times New Roman" w:cs="Times New Roman" w:hint="default"/>
          <w:spacing w:val="20"/>
          <w:sz w:val="32"/>
        </w:rPr>
        <w:t>电话：</w:t>
      </w:r>
      <w:r>
        <w:rPr>
          <w:rFonts w:ascii="Times New Roman" w:hAnsi="Times New Roman" w:cs="Times New Roman" w:hint="default"/>
          <w:sz w:val="32"/>
        </w:rPr>
        <w:t>020-84111</w:t>
      </w:r>
      <w:r>
        <w:rPr>
          <w:rFonts w:cs="Times New Roman" w:hint="eastAsia"/>
          <w:sz w:val="32"/>
          <w:lang w:val="en-US" w:eastAsia="zh-CN"/>
        </w:rPr>
        <w:t>205</w:t>
      </w:r>
      <w:r>
        <w:rPr>
          <w:rFonts w:ascii="Times New Roman" w:eastAsia="仿宋_GB2312" w:hAnsi="Times New Roman" w:cs="Times New Roman" w:hint="default"/>
          <w:spacing w:val="20"/>
          <w:sz w:val="32"/>
        </w:rPr>
        <w:t>）</w:t>
      </w:r>
    </w:p>
    <w:sectPr>
      <w:pgSz w:w="11906" w:h="16838"/>
      <w:pgMar w:top="2098" w:right="1588" w:bottom="2041" w:left="1588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BF2B0A"/>
    <w:rsid w:val="00024E6D"/>
    <w:rsid w:val="00034162"/>
    <w:rsid w:val="00035AC3"/>
    <w:rsid w:val="000545DC"/>
    <w:rsid w:val="0007099D"/>
    <w:rsid w:val="00085D22"/>
    <w:rsid w:val="00091D87"/>
    <w:rsid w:val="00095FB5"/>
    <w:rsid w:val="000A2C51"/>
    <w:rsid w:val="000A43FD"/>
    <w:rsid w:val="000B0A44"/>
    <w:rsid w:val="000C1949"/>
    <w:rsid w:val="000C2232"/>
    <w:rsid w:val="000D058F"/>
    <w:rsid w:val="000D5EF4"/>
    <w:rsid w:val="000E7426"/>
    <w:rsid w:val="00111A14"/>
    <w:rsid w:val="00112D36"/>
    <w:rsid w:val="00112FA7"/>
    <w:rsid w:val="00127E18"/>
    <w:rsid w:val="001409C5"/>
    <w:rsid w:val="00156464"/>
    <w:rsid w:val="00160765"/>
    <w:rsid w:val="00160AD0"/>
    <w:rsid w:val="00162705"/>
    <w:rsid w:val="001735F5"/>
    <w:rsid w:val="0020110A"/>
    <w:rsid w:val="00220554"/>
    <w:rsid w:val="00231C3F"/>
    <w:rsid w:val="00233223"/>
    <w:rsid w:val="002437A7"/>
    <w:rsid w:val="002503D0"/>
    <w:rsid w:val="00264F00"/>
    <w:rsid w:val="00265E72"/>
    <w:rsid w:val="00270F28"/>
    <w:rsid w:val="00286DCA"/>
    <w:rsid w:val="00294B0D"/>
    <w:rsid w:val="00295F98"/>
    <w:rsid w:val="002A7F2E"/>
    <w:rsid w:val="002C408B"/>
    <w:rsid w:val="002D14B9"/>
    <w:rsid w:val="002D6BE1"/>
    <w:rsid w:val="002D6CE0"/>
    <w:rsid w:val="002F08EA"/>
    <w:rsid w:val="002F73EB"/>
    <w:rsid w:val="00301F58"/>
    <w:rsid w:val="0031221A"/>
    <w:rsid w:val="00342FED"/>
    <w:rsid w:val="00357829"/>
    <w:rsid w:val="00393B7D"/>
    <w:rsid w:val="003A6DBC"/>
    <w:rsid w:val="003B442A"/>
    <w:rsid w:val="003B7264"/>
    <w:rsid w:val="003C0F7E"/>
    <w:rsid w:val="003C3407"/>
    <w:rsid w:val="003C433E"/>
    <w:rsid w:val="003E1346"/>
    <w:rsid w:val="003F0692"/>
    <w:rsid w:val="0040252C"/>
    <w:rsid w:val="0042187A"/>
    <w:rsid w:val="00427172"/>
    <w:rsid w:val="00441920"/>
    <w:rsid w:val="00464A88"/>
    <w:rsid w:val="004661D3"/>
    <w:rsid w:val="00477B89"/>
    <w:rsid w:val="00480E8F"/>
    <w:rsid w:val="00494326"/>
    <w:rsid w:val="00497634"/>
    <w:rsid w:val="004B1ECB"/>
    <w:rsid w:val="004B6B90"/>
    <w:rsid w:val="004E4E58"/>
    <w:rsid w:val="004F5572"/>
    <w:rsid w:val="004F69FF"/>
    <w:rsid w:val="00502BAB"/>
    <w:rsid w:val="00503FB8"/>
    <w:rsid w:val="0051338A"/>
    <w:rsid w:val="0056497D"/>
    <w:rsid w:val="00571631"/>
    <w:rsid w:val="00577FDC"/>
    <w:rsid w:val="00592B35"/>
    <w:rsid w:val="005D166B"/>
    <w:rsid w:val="005F5309"/>
    <w:rsid w:val="0064130A"/>
    <w:rsid w:val="0064171F"/>
    <w:rsid w:val="00642A17"/>
    <w:rsid w:val="006526ED"/>
    <w:rsid w:val="00663374"/>
    <w:rsid w:val="006A1AD5"/>
    <w:rsid w:val="006A6C5F"/>
    <w:rsid w:val="006B1C62"/>
    <w:rsid w:val="006C2E4B"/>
    <w:rsid w:val="006D214B"/>
    <w:rsid w:val="006D74B0"/>
    <w:rsid w:val="006E5C1F"/>
    <w:rsid w:val="00716B88"/>
    <w:rsid w:val="00722A28"/>
    <w:rsid w:val="007343AE"/>
    <w:rsid w:val="007463AC"/>
    <w:rsid w:val="00776CB8"/>
    <w:rsid w:val="00781BC9"/>
    <w:rsid w:val="00784F8D"/>
    <w:rsid w:val="00797BB0"/>
    <w:rsid w:val="007B79F3"/>
    <w:rsid w:val="007F16FA"/>
    <w:rsid w:val="00815AE7"/>
    <w:rsid w:val="00820A9B"/>
    <w:rsid w:val="008241A4"/>
    <w:rsid w:val="008255E4"/>
    <w:rsid w:val="00846824"/>
    <w:rsid w:val="0087471C"/>
    <w:rsid w:val="00874BE5"/>
    <w:rsid w:val="008834B1"/>
    <w:rsid w:val="00887796"/>
    <w:rsid w:val="008C08E9"/>
    <w:rsid w:val="008F43B3"/>
    <w:rsid w:val="00913996"/>
    <w:rsid w:val="00926BCA"/>
    <w:rsid w:val="00943BDD"/>
    <w:rsid w:val="0095392F"/>
    <w:rsid w:val="00980010"/>
    <w:rsid w:val="009819AF"/>
    <w:rsid w:val="00986951"/>
    <w:rsid w:val="00996B46"/>
    <w:rsid w:val="0099717D"/>
    <w:rsid w:val="009A5E7C"/>
    <w:rsid w:val="009B37C1"/>
    <w:rsid w:val="009B4A2D"/>
    <w:rsid w:val="009B5FF5"/>
    <w:rsid w:val="009C67C5"/>
    <w:rsid w:val="009D7394"/>
    <w:rsid w:val="00A070FE"/>
    <w:rsid w:val="00A10E59"/>
    <w:rsid w:val="00A1133B"/>
    <w:rsid w:val="00A3463E"/>
    <w:rsid w:val="00A36894"/>
    <w:rsid w:val="00A46826"/>
    <w:rsid w:val="00A63CE6"/>
    <w:rsid w:val="00A67E6E"/>
    <w:rsid w:val="00A75573"/>
    <w:rsid w:val="00AB35D0"/>
    <w:rsid w:val="00B02B13"/>
    <w:rsid w:val="00B467C8"/>
    <w:rsid w:val="00B81654"/>
    <w:rsid w:val="00B907BB"/>
    <w:rsid w:val="00BA7378"/>
    <w:rsid w:val="00BB2365"/>
    <w:rsid w:val="00BB2841"/>
    <w:rsid w:val="00BC3F6B"/>
    <w:rsid w:val="00BD5905"/>
    <w:rsid w:val="00BD7C3B"/>
    <w:rsid w:val="00BE158F"/>
    <w:rsid w:val="00BE1AE1"/>
    <w:rsid w:val="00BF2B0A"/>
    <w:rsid w:val="00C30A9F"/>
    <w:rsid w:val="00C362FE"/>
    <w:rsid w:val="00C417EE"/>
    <w:rsid w:val="00C473DB"/>
    <w:rsid w:val="00C57640"/>
    <w:rsid w:val="00C7114F"/>
    <w:rsid w:val="00D33533"/>
    <w:rsid w:val="00D33F66"/>
    <w:rsid w:val="00D4646B"/>
    <w:rsid w:val="00D47DBE"/>
    <w:rsid w:val="00D513EB"/>
    <w:rsid w:val="00D627CA"/>
    <w:rsid w:val="00D751C5"/>
    <w:rsid w:val="00D77550"/>
    <w:rsid w:val="00D822C1"/>
    <w:rsid w:val="00DA181B"/>
    <w:rsid w:val="00DA3E6A"/>
    <w:rsid w:val="00DB170A"/>
    <w:rsid w:val="00DE77AA"/>
    <w:rsid w:val="00DF7545"/>
    <w:rsid w:val="00E20D65"/>
    <w:rsid w:val="00E61FF6"/>
    <w:rsid w:val="00E84EC8"/>
    <w:rsid w:val="00E917FE"/>
    <w:rsid w:val="00EC1320"/>
    <w:rsid w:val="00EE1022"/>
    <w:rsid w:val="00F06C92"/>
    <w:rsid w:val="00F11513"/>
    <w:rsid w:val="00F249EA"/>
    <w:rsid w:val="00F34F2B"/>
    <w:rsid w:val="00F41D9B"/>
    <w:rsid w:val="00F538F8"/>
    <w:rsid w:val="00F56E02"/>
    <w:rsid w:val="00F632A4"/>
    <w:rsid w:val="00F66EF6"/>
    <w:rsid w:val="00F746E0"/>
    <w:rsid w:val="00F84128"/>
    <w:rsid w:val="00FA0478"/>
    <w:rsid w:val="00FA4898"/>
    <w:rsid w:val="00FB2705"/>
    <w:rsid w:val="00FB3D47"/>
    <w:rsid w:val="00FE154E"/>
    <w:rsid w:val="00FE5FC4"/>
    <w:rsid w:val="00FF3618"/>
    <w:rsid w:val="017354EF"/>
    <w:rsid w:val="10A572EE"/>
    <w:rsid w:val="151A2638"/>
    <w:rsid w:val="158E4632"/>
    <w:rsid w:val="1AA17687"/>
    <w:rsid w:val="1B73299B"/>
    <w:rsid w:val="27751F32"/>
    <w:rsid w:val="277C30AE"/>
    <w:rsid w:val="2D4B229D"/>
    <w:rsid w:val="2E890856"/>
    <w:rsid w:val="368B1B36"/>
    <w:rsid w:val="3730228D"/>
    <w:rsid w:val="3CCF0E76"/>
    <w:rsid w:val="41370599"/>
    <w:rsid w:val="420432E0"/>
    <w:rsid w:val="48737CA4"/>
    <w:rsid w:val="5F4A3B5E"/>
    <w:rsid w:val="5FE85438"/>
    <w:rsid w:val="6A520E02"/>
    <w:rsid w:val="6B1C39A5"/>
    <w:rsid w:val="6C164437"/>
    <w:rsid w:val="6D541714"/>
    <w:rsid w:val="6D5D75AC"/>
    <w:rsid w:val="7EB454BB"/>
  </w:rsids>
  <w:docVars>
    <w:docVar w:name="commondata" w:val="eyJoZGlkIjoiMjhjOTIzODU2YTEwZmY3MmQzZTYzZjAyYmM5MWM1MTg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uiPriority="0" w:unhideWhenUsed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 w:semiHidden="0" w:qFormat="1"/>
    <w:lsdException w:name="Body Text Indent" w:semiHidden="0" w:uiPriority="0" w:unhideWhenUsed="0" w:qFormat="1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/>
      <w:keepLines/>
      <w:spacing w:before="340" w:after="330" w:line="578" w:lineRule="auto"/>
      <w:outlineLvl w:val="0"/>
    </w:pPr>
    <w:rPr>
      <w:rFonts w:eastAsia="仿宋_GB2312"/>
      <w:b/>
      <w:bCs/>
      <w:kern w:val="44"/>
      <w:sz w:val="32"/>
      <w:szCs w:val="4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a6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a4"/>
    <w:uiPriority w:val="99"/>
    <w:unhideWhenUsed/>
    <w:qFormat/>
    <w:pPr>
      <w:jc w:val="left"/>
    </w:pPr>
  </w:style>
  <w:style w:type="paragraph" w:styleId="BodyText">
    <w:name w:val="Body Text"/>
    <w:basedOn w:val="Normal"/>
    <w:link w:val="a1"/>
    <w:uiPriority w:val="99"/>
    <w:unhideWhenUsed/>
    <w:qFormat/>
    <w:pPr>
      <w:spacing w:after="120"/>
    </w:pPr>
  </w:style>
  <w:style w:type="paragraph" w:styleId="BodyTextIndent">
    <w:name w:val="Body Text Indent"/>
    <w:basedOn w:val="Normal"/>
    <w:link w:val="a0"/>
    <w:qFormat/>
    <w:pPr>
      <w:adjustRightInd w:val="0"/>
      <w:snapToGrid w:val="0"/>
      <w:spacing w:line="460" w:lineRule="atLeast"/>
      <w:ind w:firstLine="461" w:firstLineChars="192"/>
    </w:pPr>
    <w:rPr>
      <w:sz w:val="24"/>
    </w:rPr>
  </w:style>
  <w:style w:type="paragraph" w:styleId="BalloonText">
    <w:name w:val="Balloon Text"/>
    <w:basedOn w:val="Normal"/>
    <w:link w:val="a2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widowControl/>
      <w:jc w:val="left"/>
    </w:pPr>
    <w:rPr>
      <w:rFonts w:ascii="宋体" w:hAnsi="宋体" w:cs="宋体"/>
      <w:kern w:val="0"/>
      <w:sz w:val="24"/>
    </w:rPr>
  </w:style>
  <w:style w:type="paragraph" w:styleId="CommentSubject">
    <w:name w:val="annotation subject"/>
    <w:basedOn w:val="CommentText"/>
    <w:next w:val="CommentText"/>
    <w:link w:val="a5"/>
    <w:uiPriority w:val="99"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0560A6"/>
      <w:u w:val="none"/>
    </w:rPr>
  </w:style>
  <w:style w:type="character" w:styleId="Hyperlink">
    <w:name w:val="Hyperlink"/>
    <w:basedOn w:val="DefaultParagraphFont"/>
    <w:uiPriority w:val="99"/>
    <w:unhideWhenUsed/>
    <w:qFormat/>
    <w:rPr>
      <w:color w:val="000000"/>
      <w:u w:val="non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a">
    <w:name w:val="页脚 字符"/>
    <w:basedOn w:val="DefaultParagraphFont"/>
    <w:link w:val="Footer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0">
    <w:name w:val="正文文本缩进 字符"/>
    <w:basedOn w:val="DefaultParagraphFont"/>
    <w:link w:val="BodyTextIndent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a1">
    <w:name w:val="正文文本 字符"/>
    <w:basedOn w:val="DefaultParagraphFont"/>
    <w:link w:val="BodyText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2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3">
    <w:name w:val="页眉 字符"/>
    <w:basedOn w:val="DefaultParagraphFont"/>
    <w:link w:val="Header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DefaultParagraphFont"/>
    <w:link w:val="CommentText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5">
    <w:name w:val="批注主题 字符"/>
    <w:basedOn w:val="a4"/>
    <w:link w:val="CommentSubject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a6">
    <w:name w:val="文档结构图 字符"/>
    <w:basedOn w:val="DefaultParagraphFont"/>
    <w:link w:val="DocumentMap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paragraph" w:customStyle="1" w:styleId="rteright">
    <w:name w:val="rteright"/>
    <w:basedOn w:val="Normal"/>
    <w:qFormat/>
    <w:pPr>
      <w:widowControl/>
      <w:jc w:val="right"/>
    </w:pPr>
    <w:rPr>
      <w:rFonts w:ascii="宋体" w:hAnsi="宋体" w:cs="宋体"/>
      <w:kern w:val="0"/>
      <w:sz w:val="24"/>
    </w:rPr>
  </w:style>
  <w:style w:type="character" w:customStyle="1" w:styleId="1">
    <w:name w:val="标题 1 字符"/>
    <w:basedOn w:val="DefaultParagraphFont"/>
    <w:link w:val="Heading1"/>
    <w:uiPriority w:val="9"/>
    <w:qFormat/>
    <w:rPr>
      <w:rFonts w:ascii="Times New Roman" w:eastAsia="仿宋_GB2312" w:hAnsi="Times New Roman" w:cs="Times New Roman"/>
      <w:b/>
      <w:bCs/>
      <w:kern w:val="44"/>
      <w:sz w:val="32"/>
      <w:szCs w:val="44"/>
    </w:rPr>
  </w:style>
  <w:style w:type="character" w:customStyle="1" w:styleId="summary">
    <w:name w:val="summary"/>
    <w:basedOn w:val="DefaultParagraphFont"/>
    <w:qFormat/>
    <w:rPr>
      <w:color w:val="999999"/>
      <w:sz w:val="18"/>
      <w:szCs w:val="18"/>
    </w:rPr>
  </w:style>
  <w:style w:type="character" w:customStyle="1" w:styleId="date-display-start">
    <w:name w:val="date-display-start"/>
    <w:basedOn w:val="DefaultParagraphFont"/>
    <w:qFormat/>
    <w:rPr>
      <w:b/>
    </w:rPr>
  </w:style>
  <w:style w:type="character" w:customStyle="1" w:styleId="date-display-single">
    <w:name w:val="date-display-single"/>
    <w:basedOn w:val="DefaultParagraphFont"/>
    <w:qFormat/>
    <w:rPr>
      <w:b/>
    </w:rPr>
  </w:style>
  <w:style w:type="character" w:customStyle="1" w:styleId="date-display-end">
    <w:name w:val="date-display-end"/>
    <w:basedOn w:val="DefaultParagraphFont"/>
    <w:qFormat/>
    <w:rPr>
      <w:b/>
    </w:rPr>
  </w:style>
  <w:style w:type="character" w:customStyle="1" w:styleId="date-display-separator">
    <w:name w:val="date-display-separator"/>
    <w:basedOn w:val="DefaultParagraphFont"/>
    <w:qFormat/>
    <w:rPr>
      <w:b/>
    </w:rPr>
  </w:style>
  <w:style w:type="character" w:customStyle="1" w:styleId="day">
    <w:name w:val="day"/>
    <w:basedOn w:val="DefaultParagraphFont"/>
    <w:qFormat/>
    <w:rPr>
      <w:b/>
      <w:sz w:val="42"/>
      <w:szCs w:val="42"/>
    </w:rPr>
  </w:style>
  <w:style w:type="character" w:customStyle="1" w:styleId="year">
    <w:name w:val="year"/>
    <w:basedOn w:val="DefaultParagraphFont"/>
    <w:qFormat/>
    <w:rPr>
      <w:sz w:val="18"/>
      <w:szCs w:val="18"/>
    </w:rPr>
  </w:style>
  <w:style w:type="character" w:customStyle="1" w:styleId="month">
    <w:name w:val="month"/>
    <w:basedOn w:val="DefaultParagraphFont"/>
    <w:qFormat/>
    <w:rPr>
      <w:caps/>
      <w:color w:val="FFFFFF"/>
      <w:sz w:val="18"/>
      <w:szCs w:val="18"/>
      <w:shd w:val="clear" w:color="auto" w:fill="B5BEBE"/>
    </w:rPr>
  </w:style>
  <w:style w:type="character" w:customStyle="1" w:styleId="externalcode">
    <w:name w:val="externalcode"/>
    <w:basedOn w:val="DefaultParagraphFont"/>
  </w:style>
  <w:style w:type="character" w:customStyle="1" w:styleId="loadingsecurelink">
    <w:name w:val="loadingsecurelink"/>
    <w:basedOn w:val="DefaultParagraphFont"/>
    <w:qFormat/>
  </w:style>
  <w:style w:type="character" w:customStyle="1" w:styleId="infoplustextareacontrolmaxlengthtip">
    <w:name w:val="infoplus_textareacontrolmaxlengthtip"/>
    <w:basedOn w:val="DefaultParagraphFont"/>
    <w:qFormat/>
    <w:rPr>
      <w:rFonts w:ascii="黑体" w:eastAsia="黑体" w:hAnsi="宋体" w:cs="黑体"/>
      <w:b/>
      <w:i/>
      <w:sz w:val="16"/>
      <w:szCs w:val="16"/>
    </w:rPr>
  </w:style>
  <w:style w:type="character" w:customStyle="1" w:styleId="select2-selectionarrow12">
    <w:name w:val="select2-selection__arrow12"/>
    <w:basedOn w:val="DefaultParagraphFont"/>
    <w:qFormat/>
  </w:style>
  <w:style w:type="character" w:customStyle="1" w:styleId="morehistory">
    <w:name w:val="morehistory"/>
    <w:basedOn w:val="DefaultParagraphFont"/>
    <w:qFormat/>
    <w:rPr>
      <w:shd w:val="clear" w:color="auto" w:fill="FFFFFF"/>
    </w:rPr>
  </w:style>
  <w:style w:type="character" w:customStyle="1" w:styleId="remarkdisplaytime">
    <w:name w:val="remark_display_time"/>
    <w:basedOn w:val="DefaultParagraphFont"/>
    <w:qFormat/>
  </w:style>
  <w:style w:type="character" w:customStyle="1" w:styleId="formremarktime">
    <w:name w:val="form_remark_time"/>
    <w:basedOn w:val="DefaultParagraphFont"/>
    <w:qFormat/>
    <w:rPr>
      <w:color w:val="808080"/>
    </w:rPr>
  </w:style>
  <w:style w:type="character" w:customStyle="1" w:styleId="formremarkread">
    <w:name w:val="form_remark_read"/>
    <w:basedOn w:val="DefaultParagraphFont"/>
    <w:qFormat/>
    <w:rPr>
      <w:color w:val="FFFFFF"/>
      <w:sz w:val="14"/>
      <w:szCs w:val="14"/>
      <w:shd w:val="clear" w:color="auto" w:fill="9E9E9E"/>
    </w:rPr>
  </w:style>
  <w:style w:type="character" w:customStyle="1" w:styleId="tiphelp">
    <w:name w:val="tip_help"/>
    <w:basedOn w:val="DefaultParagraphFont"/>
    <w:qFormat/>
  </w:style>
  <w:style w:type="character" w:customStyle="1" w:styleId="stepname">
    <w:name w:val="stepname"/>
    <w:basedOn w:val="DefaultParagraphFont"/>
    <w:qFormat/>
    <w:rPr>
      <w:b/>
    </w:rPr>
  </w:style>
  <w:style w:type="character" w:customStyle="1" w:styleId="loading">
    <w:name w:val="loading"/>
    <w:basedOn w:val="DefaultParagraphFont"/>
    <w:qFormat/>
    <w:rPr>
      <w:color w:val="FFFFFF"/>
      <w:sz w:val="19"/>
      <w:szCs w:val="19"/>
    </w:rPr>
  </w:style>
  <w:style w:type="character" w:customStyle="1" w:styleId="loadinguserlist">
    <w:name w:val="loadinguserlist"/>
    <w:basedOn w:val="DefaultParagraphFont"/>
    <w:qFormat/>
    <w:rPr>
      <w:color w:val="FFFFFF"/>
      <w:sz w:val="19"/>
      <w:szCs w:val="19"/>
    </w:rPr>
  </w:style>
  <w:style w:type="character" w:customStyle="1" w:styleId="blocking">
    <w:name w:val="blocking"/>
    <w:basedOn w:val="DefaultParagraphFont"/>
    <w:qFormat/>
    <w:rPr>
      <w:b/>
      <w:color w:val="FFFFFF"/>
      <w:sz w:val="21"/>
      <w:szCs w:val="21"/>
      <w:shd w:val="clear" w:color="auto" w:fill="AFC5DE"/>
    </w:rPr>
  </w:style>
  <w:style w:type="character" w:customStyle="1" w:styleId="blockingnotext">
    <w:name w:val="blockingnotext"/>
    <w:basedOn w:val="DefaultParagraphFont"/>
    <w:qFormat/>
    <w:rPr>
      <w:b/>
      <w:color w:val="FFFFFF"/>
      <w:sz w:val="21"/>
      <w:szCs w:val="21"/>
      <w:shd w:val="clear" w:color="auto" w:fill="AFC5DE"/>
    </w:rPr>
  </w:style>
  <w:style w:type="character" w:customStyle="1" w:styleId="information">
    <w:name w:val="information"/>
    <w:basedOn w:val="DefaultParagraphFont"/>
    <w:qFormat/>
    <w:rPr>
      <w:color w:val="FAAC18"/>
      <w:sz w:val="19"/>
      <w:szCs w:val="19"/>
    </w:rPr>
  </w:style>
  <w:style w:type="character" w:customStyle="1" w:styleId="copyright">
    <w:name w:val="copyright"/>
    <w:basedOn w:val="DefaultParagraphFont"/>
    <w:qFormat/>
    <w:rPr>
      <w:rFonts w:ascii="PingFangSC-Regular" w:eastAsia="PingFangSC-Regular" w:hAnsi="PingFangSC-Regular" w:cs="PingFangSC-Regular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yperlink" Target="http://xsc.sysu.edu.cn/zh-hans/node/2305" TargetMode="External" /><Relationship Id="rId7" Type="http://schemas.openxmlformats.org/officeDocument/2006/relationships/hyperlink" Target="https://e.boc.cn/stuloan/" TargetMode="Externa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7819E-3CD7-4485-9B59-76DD69131B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1316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XSC</cp:lastModifiedBy>
  <cp:revision>15</cp:revision>
  <dcterms:created xsi:type="dcterms:W3CDTF">2018-03-23T09:03:00Z</dcterms:created>
  <dcterms:modified xsi:type="dcterms:W3CDTF">2022-05-28T07:38:56Z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D6138D0347494ADC80E58491A86F10DF</vt:lpwstr>
  </property>
  <property fmtid="{D5CDD505-2E9C-101B-9397-08002B2CF9AE}" pid="3" name="KSOProductBuildVer">
    <vt:lpwstr>2052-11.1.0.11691</vt:lpwstr>
  </property>
</Properties>
</file>